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EB" w:rsidRPr="00BB1DEB" w:rsidRDefault="00BB1DEB" w:rsidP="00BB1DEB">
      <w:pPr>
        <w:spacing w:after="225" w:line="240" w:lineRule="auto"/>
        <w:outlineLvl w:val="0"/>
        <w:rPr>
          <w:rFonts w:ascii="Arial" w:eastAsia="Times New Roman" w:hAnsi="Arial" w:cs="Arial"/>
          <w:color w:val="303030"/>
          <w:kern w:val="36"/>
          <w:sz w:val="53"/>
          <w:szCs w:val="53"/>
        </w:rPr>
      </w:pPr>
      <w:r w:rsidRPr="00BB1DEB">
        <w:rPr>
          <w:rFonts w:ascii="Arial" w:eastAsia="Times New Roman" w:hAnsi="Arial" w:cs="Arial"/>
          <w:color w:val="303030"/>
          <w:kern w:val="36"/>
          <w:sz w:val="53"/>
          <w:szCs w:val="53"/>
        </w:rPr>
        <w:t>Safeguarding adults: sharing information</w:t>
      </w:r>
    </w:p>
    <w:p w:rsidR="00BB1DEB" w:rsidRPr="00BB1DEB" w:rsidRDefault="00BB1DEB" w:rsidP="00BB1DEB">
      <w:pPr>
        <w:spacing w:after="225" w:line="336" w:lineRule="atLeast"/>
        <w:rPr>
          <w:rFonts w:ascii="Arial" w:eastAsia="Times New Roman" w:hAnsi="Arial" w:cs="Arial"/>
          <w:b/>
          <w:bCs/>
          <w:color w:val="303030"/>
          <w:sz w:val="24"/>
          <w:szCs w:val="24"/>
        </w:rPr>
      </w:pPr>
      <w:r w:rsidRPr="00BB1DEB">
        <w:rPr>
          <w:rFonts w:ascii="Arial" w:eastAsia="Times New Roman" w:hAnsi="Arial" w:cs="Arial"/>
          <w:b/>
          <w:bCs/>
          <w:color w:val="303030"/>
          <w:sz w:val="24"/>
          <w:szCs w:val="24"/>
        </w:rPr>
        <w:t>Published: January 2015 | Last updated: January 2019</w:t>
      </w:r>
    </w:p>
    <w:p w:rsidR="00BB1DEB" w:rsidRPr="00BB1DEB" w:rsidRDefault="00BB1DEB" w:rsidP="00BB1DEB">
      <w:pPr>
        <w:spacing w:after="225" w:line="336" w:lineRule="atLeast"/>
        <w:rPr>
          <w:rFonts w:ascii="Arial" w:eastAsia="Times New Roman" w:hAnsi="Arial" w:cs="Arial"/>
          <w:color w:val="303030"/>
          <w:sz w:val="24"/>
          <w:szCs w:val="24"/>
        </w:rPr>
      </w:pPr>
      <w:r w:rsidRPr="00BB1DEB">
        <w:rPr>
          <w:rFonts w:ascii="Arial" w:eastAsia="Times New Roman" w:hAnsi="Arial" w:cs="Arial"/>
          <w:color w:val="303030"/>
          <w:sz w:val="24"/>
          <w:szCs w:val="24"/>
        </w:rPr>
        <w:t>This guide is part of a range of products to support implementation of the adult safeguarding aspects of the Care Act 2014. Sharing the right information, at the right time, with the right people, is fundamental to good practice in safeguarding adults but has been highlighted as a difficult area of practice.</w:t>
      </w:r>
    </w:p>
    <w:p w:rsidR="00BB1DEB" w:rsidRPr="00BB1DEB" w:rsidRDefault="00BB1DEB" w:rsidP="00BB1DEB">
      <w:pPr>
        <w:shd w:val="clear" w:color="auto" w:fill="FAFAFA"/>
        <w:spacing w:after="225" w:line="240" w:lineRule="auto"/>
        <w:outlineLvl w:val="1"/>
        <w:rPr>
          <w:rFonts w:ascii="Arial" w:eastAsia="Times New Roman" w:hAnsi="Arial" w:cs="Arial"/>
          <w:color w:val="0099FF"/>
          <w:sz w:val="39"/>
          <w:szCs w:val="39"/>
        </w:rPr>
      </w:pPr>
      <w:r w:rsidRPr="00BB1DEB">
        <w:rPr>
          <w:rFonts w:ascii="Arial" w:eastAsia="Times New Roman" w:hAnsi="Arial" w:cs="Arial"/>
          <w:color w:val="0099FF"/>
          <w:sz w:val="39"/>
          <w:szCs w:val="39"/>
        </w:rPr>
        <w:t>Key messages</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Adults have a general right to independence, choice and self-determination including control over information about themselves. In the context of adult safeguarding these rights can be overridden in </w:t>
      </w:r>
      <w:hyperlink r:id="rId5" w:anchor="does-not-want-you-to-share" w:history="1">
        <w:r w:rsidRPr="00BB1DEB">
          <w:rPr>
            <w:rFonts w:ascii="inherit" w:eastAsia="Times New Roman" w:hAnsi="inherit" w:cs="Times New Roman"/>
            <w:b/>
            <w:bCs/>
            <w:color w:val="00539F"/>
            <w:sz w:val="24"/>
            <w:szCs w:val="24"/>
            <w:u w:val="single"/>
            <w:bdr w:val="none" w:sz="0" w:space="0" w:color="auto" w:frame="1"/>
          </w:rPr>
          <w:t>certain circ</w:t>
        </w:r>
        <w:r w:rsidRPr="00BB1DEB">
          <w:rPr>
            <w:rFonts w:ascii="inherit" w:eastAsia="Times New Roman" w:hAnsi="inherit" w:cs="Times New Roman"/>
            <w:b/>
            <w:bCs/>
            <w:color w:val="00539F"/>
            <w:sz w:val="24"/>
            <w:szCs w:val="24"/>
            <w:u w:val="single"/>
            <w:bdr w:val="none" w:sz="0" w:space="0" w:color="auto" w:frame="1"/>
          </w:rPr>
          <w:t>u</w:t>
        </w:r>
        <w:r w:rsidRPr="00BB1DEB">
          <w:rPr>
            <w:rFonts w:ascii="inherit" w:eastAsia="Times New Roman" w:hAnsi="inherit" w:cs="Times New Roman"/>
            <w:b/>
            <w:bCs/>
            <w:color w:val="00539F"/>
            <w:sz w:val="24"/>
            <w:szCs w:val="24"/>
            <w:u w:val="single"/>
            <w:bdr w:val="none" w:sz="0" w:space="0" w:color="auto" w:frame="1"/>
          </w:rPr>
          <w:t>mstances</w:t>
        </w:r>
      </w:hyperlink>
      <w:r w:rsidRPr="00BB1DEB">
        <w:rPr>
          <w:rFonts w:ascii="inherit" w:eastAsia="Times New Roman" w:hAnsi="inherit" w:cs="Times New Roman"/>
          <w:sz w:val="24"/>
          <w:szCs w:val="24"/>
        </w:rPr>
        <w:t>.</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Emergency or life-threatening situations may warrant the sharing of relevant information with the relevant emergency services without consent.</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The law does not prevent the sharing of sensitive, personal information </w:t>
      </w:r>
      <w:r w:rsidRPr="00BB1DEB">
        <w:rPr>
          <w:rFonts w:ascii="inherit" w:eastAsia="Times New Roman" w:hAnsi="inherit" w:cs="Times New Roman"/>
          <w:b/>
          <w:bCs/>
          <w:sz w:val="24"/>
          <w:szCs w:val="24"/>
          <w:bdr w:val="none" w:sz="0" w:space="0" w:color="auto" w:frame="1"/>
        </w:rPr>
        <w:t>within</w:t>
      </w:r>
      <w:r w:rsidRPr="00BB1DEB">
        <w:rPr>
          <w:rFonts w:ascii="inherit" w:eastAsia="Times New Roman" w:hAnsi="inherit" w:cs="Times New Roman"/>
          <w:sz w:val="24"/>
          <w:szCs w:val="24"/>
        </w:rPr>
        <w:t> organisations. If the information is confidential, but there is a safeguarding concern, sharing it may be justified.</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The law does not prevent the sharing of sensitive, personal information </w:t>
      </w:r>
      <w:r w:rsidRPr="00BB1DEB">
        <w:rPr>
          <w:rFonts w:ascii="inherit" w:eastAsia="Times New Roman" w:hAnsi="inherit" w:cs="Times New Roman"/>
          <w:b/>
          <w:bCs/>
          <w:sz w:val="24"/>
          <w:szCs w:val="24"/>
          <w:bdr w:val="none" w:sz="0" w:space="0" w:color="auto" w:frame="1"/>
        </w:rPr>
        <w:t>between</w:t>
      </w:r>
      <w:r w:rsidRPr="00BB1DEB">
        <w:rPr>
          <w:rFonts w:ascii="inherit" w:eastAsia="Times New Roman" w:hAnsi="inherit" w:cs="Times New Roman"/>
          <w:sz w:val="24"/>
          <w:szCs w:val="24"/>
        </w:rPr>
        <w:t> organisations where the public interest served outweighs the public interest served by protecting confidentiality – for example, where a serious crime may be prevented.</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Information can be shared lawfully within the parameters of the Data Protection Act 2018 and the General Data Protection Regulation (GDPR).</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There should be a local agreement or protocol in place setting out the processes and principles for sharing information between organisations.</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An individual employee cannot give a personal assurance of confidentiality.</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Frontline staff and volunteers should always report safeguarding concerns in line with their organisation’s policy – this is usually to their line manager in the first instance except in emergency situations.</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It is good practice to try to gain the person’s consent to share information.</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As long as it does not increase risk, practitioners should inform the person if they need to share their information without consent.</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Organisational policies should have clear routes for escalation where a member of staff feels a manager has not responded appropriately to a safeguarding concern.</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All organisations </w:t>
      </w:r>
      <w:r w:rsidRPr="00BB1DEB">
        <w:rPr>
          <w:rFonts w:ascii="inherit" w:eastAsia="Times New Roman" w:hAnsi="inherit" w:cs="Times New Roman"/>
          <w:b/>
          <w:bCs/>
          <w:sz w:val="24"/>
          <w:szCs w:val="24"/>
          <w:bdr w:val="none" w:sz="0" w:space="0" w:color="auto" w:frame="1"/>
        </w:rPr>
        <w:t>must</w:t>
      </w:r>
      <w:r w:rsidRPr="00BB1DEB">
        <w:rPr>
          <w:rFonts w:ascii="inherit" w:eastAsia="Times New Roman" w:hAnsi="inherit" w:cs="Times New Roman"/>
          <w:sz w:val="24"/>
          <w:szCs w:val="24"/>
        </w:rPr>
        <w:t> have a </w:t>
      </w:r>
      <w:hyperlink r:id="rId6" w:history="1">
        <w:r w:rsidRPr="00BB1DEB">
          <w:rPr>
            <w:rFonts w:ascii="inherit" w:eastAsia="Times New Roman" w:hAnsi="inherit" w:cs="Times New Roman"/>
            <w:b/>
            <w:bCs/>
            <w:color w:val="00539F"/>
            <w:sz w:val="24"/>
            <w:szCs w:val="24"/>
            <w:u w:val="single"/>
            <w:bdr w:val="none" w:sz="0" w:space="0" w:color="auto" w:frame="1"/>
          </w:rPr>
          <w:t>whistleblowing policy</w:t>
        </w:r>
      </w:hyperlink>
      <w:r w:rsidRPr="00BB1DEB">
        <w:rPr>
          <w:rFonts w:ascii="inherit" w:eastAsia="Times New Roman" w:hAnsi="inherit" w:cs="Times New Roman"/>
          <w:sz w:val="24"/>
          <w:szCs w:val="24"/>
        </w:rPr>
        <w:t>.</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The management interests of an organisation should not override the need to share information to safeguard adults at risk of abuse.</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All staff, in all partner agencies, should understand the importance of sharing safeguarding information and the potential risks of not sharing it.</w:t>
      </w:r>
    </w:p>
    <w:p w:rsidR="00BB1DEB" w:rsidRPr="00BB1DEB" w:rsidRDefault="00BB1DEB" w:rsidP="00BB1DEB">
      <w:pPr>
        <w:numPr>
          <w:ilvl w:val="0"/>
          <w:numId w:val="1"/>
        </w:numPr>
        <w:shd w:val="clear" w:color="auto" w:fill="FAFAFA"/>
        <w:spacing w:after="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All staff should understand who safeguarding applies to and how to report a concern.</w:t>
      </w:r>
    </w:p>
    <w:p w:rsidR="00BB1DEB" w:rsidRDefault="00BB1DEB" w:rsidP="00BB1DEB">
      <w:pPr>
        <w:numPr>
          <w:ilvl w:val="0"/>
          <w:numId w:val="1"/>
        </w:numPr>
        <w:shd w:val="clear" w:color="auto" w:fill="FAFAFA"/>
        <w:spacing w:after="150" w:line="240" w:lineRule="auto"/>
        <w:ind w:left="0"/>
        <w:rPr>
          <w:rFonts w:ascii="inherit" w:eastAsia="Times New Roman" w:hAnsi="inherit" w:cs="Times New Roman"/>
          <w:sz w:val="24"/>
          <w:szCs w:val="24"/>
        </w:rPr>
      </w:pPr>
      <w:r w:rsidRPr="00BB1DEB">
        <w:rPr>
          <w:rFonts w:ascii="inherit" w:eastAsia="Times New Roman" w:hAnsi="inherit" w:cs="Times New Roman"/>
          <w:sz w:val="24"/>
          <w:szCs w:val="24"/>
        </w:rPr>
        <w:t>The six safeguarding principles should underpin all safeguarding practice, including information-sharing.</w:t>
      </w:r>
    </w:p>
    <w:p w:rsidR="00BB1DEB" w:rsidRPr="00BB1DEB" w:rsidRDefault="00BB1DEB" w:rsidP="00BB1DEB">
      <w:pPr>
        <w:spacing w:before="120" w:after="225" w:line="240" w:lineRule="auto"/>
        <w:outlineLvl w:val="1"/>
        <w:rPr>
          <w:rFonts w:ascii="Arial" w:eastAsia="Times New Roman" w:hAnsi="Arial" w:cs="Arial"/>
          <w:color w:val="0099FF"/>
          <w:sz w:val="42"/>
          <w:szCs w:val="42"/>
        </w:rPr>
      </w:pPr>
      <w:r w:rsidRPr="00BB1DEB">
        <w:rPr>
          <w:rFonts w:ascii="Arial" w:eastAsia="Times New Roman" w:hAnsi="Arial" w:cs="Arial"/>
          <w:color w:val="0099FF"/>
          <w:sz w:val="42"/>
          <w:szCs w:val="42"/>
        </w:rPr>
        <w:lastRenderedPageBreak/>
        <w:t>What if a person does not want you to share their information?</w:t>
      </w:r>
    </w:p>
    <w:p w:rsidR="00BB1DEB" w:rsidRPr="00BB1DEB" w:rsidRDefault="00BB1DEB" w:rsidP="00BB1DEB">
      <w:pPr>
        <w:spacing w:after="225" w:line="336" w:lineRule="atLeast"/>
        <w:rPr>
          <w:rFonts w:ascii="Arial" w:eastAsia="Times New Roman" w:hAnsi="Arial" w:cs="Arial"/>
          <w:color w:val="303030"/>
          <w:sz w:val="24"/>
          <w:szCs w:val="24"/>
        </w:rPr>
      </w:pPr>
      <w:r w:rsidRPr="00BB1DEB">
        <w:rPr>
          <w:rFonts w:ascii="Arial" w:eastAsia="Times New Roman" w:hAnsi="Arial" w:cs="Arial"/>
          <w:color w:val="303030"/>
          <w:sz w:val="24"/>
          <w:szCs w:val="24"/>
        </w:rPr>
        <w:t>Frontline workers and volunteers should always share safeguarding concerns in line with their organisation’s policy, usually with their line manager or safeguarding lead in the first instance, except in emergency situations. As long as it does not increase the risk to the individual, the member of staff should explain their responsibility to share the concern with their manager.</w:t>
      </w:r>
    </w:p>
    <w:p w:rsidR="00BB1DEB" w:rsidRPr="00BB1DEB" w:rsidRDefault="00BB1DEB" w:rsidP="00BB1DEB">
      <w:pPr>
        <w:spacing w:after="225" w:line="336" w:lineRule="atLeast"/>
        <w:rPr>
          <w:rFonts w:ascii="Arial" w:eastAsia="Times New Roman" w:hAnsi="Arial" w:cs="Arial"/>
          <w:color w:val="303030"/>
          <w:sz w:val="24"/>
          <w:szCs w:val="24"/>
        </w:rPr>
      </w:pPr>
      <w:r w:rsidRPr="00BB1DEB">
        <w:rPr>
          <w:rFonts w:ascii="Arial" w:eastAsia="Times New Roman" w:hAnsi="Arial" w:cs="Arial"/>
          <w:color w:val="303030"/>
          <w:sz w:val="24"/>
          <w:szCs w:val="24"/>
        </w:rPr>
        <w:t>Managers will need to make decisions about sharing information with external agencies, including the police and local authority. Individuals may not give their consent to the sharing of safeguarding information for a number of reasons. For example, they may be frightened of reprisals, they may fear losing control, they may not trust social services or other partners or they may fear that their relationship with the abuser will be damaged. Reassurance and appropriate support along with gentle persuasion may help to change their view on whether it is best to share information.</w:t>
      </w:r>
    </w:p>
    <w:p w:rsidR="00BB1DEB" w:rsidRPr="00BB1DEB" w:rsidRDefault="00BB1DEB" w:rsidP="00BB1DEB">
      <w:pPr>
        <w:spacing w:after="225" w:line="336" w:lineRule="atLeast"/>
        <w:rPr>
          <w:rFonts w:ascii="Arial" w:eastAsia="Times New Roman" w:hAnsi="Arial" w:cs="Arial"/>
          <w:color w:val="303030"/>
          <w:sz w:val="24"/>
          <w:szCs w:val="24"/>
        </w:rPr>
      </w:pPr>
      <w:r w:rsidRPr="00BB1DEB">
        <w:rPr>
          <w:rFonts w:ascii="Arial" w:eastAsia="Times New Roman" w:hAnsi="Arial" w:cs="Arial"/>
          <w:color w:val="303030"/>
          <w:sz w:val="24"/>
          <w:szCs w:val="24"/>
        </w:rPr>
        <w:t>If a person refuses intervention to support them with a safeguarding concern, or requests that information about them is not shared with other safeguarding partners, their wishes should be respected. However, there are a number of circumstances where the practitioner can reasonably override such a decision, including:</w:t>
      </w:r>
    </w:p>
    <w:p w:rsidR="00BB1DEB" w:rsidRPr="00BB1DEB" w:rsidRDefault="00BB1DEB" w:rsidP="00BB1DEB">
      <w:pPr>
        <w:numPr>
          <w:ilvl w:val="0"/>
          <w:numId w:val="2"/>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the person lacks the mental capacity to make that decision – this must be properly explored and recorded in line with the </w:t>
      </w:r>
      <w:hyperlink r:id="rId7" w:anchor="mentalcapacityact" w:history="1">
        <w:r w:rsidRPr="00BB1DEB">
          <w:rPr>
            <w:rFonts w:ascii="inherit" w:eastAsia="Times New Roman" w:hAnsi="inherit" w:cs="Times New Roman"/>
            <w:b/>
            <w:bCs/>
            <w:color w:val="00539F"/>
            <w:sz w:val="24"/>
            <w:szCs w:val="24"/>
            <w:u w:val="single"/>
            <w:bdr w:val="none" w:sz="0" w:space="0" w:color="auto" w:frame="1"/>
          </w:rPr>
          <w:t>Mental Capacity Act</w:t>
        </w:r>
      </w:hyperlink>
    </w:p>
    <w:p w:rsidR="00BB1DEB" w:rsidRPr="00BB1DEB" w:rsidRDefault="00BB1DEB" w:rsidP="00BB1DEB">
      <w:pPr>
        <w:numPr>
          <w:ilvl w:val="0"/>
          <w:numId w:val="2"/>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other people are, or may be, at risk, including children</w:t>
      </w:r>
    </w:p>
    <w:p w:rsidR="00BB1DEB" w:rsidRPr="00BB1DEB" w:rsidRDefault="00BB1DEB" w:rsidP="00BB1DEB">
      <w:pPr>
        <w:numPr>
          <w:ilvl w:val="0"/>
          <w:numId w:val="2"/>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sharing the information could prevent a crime</w:t>
      </w:r>
    </w:p>
    <w:p w:rsidR="00BB1DEB" w:rsidRPr="00BB1DEB" w:rsidRDefault="00BB1DEB" w:rsidP="00BB1DEB">
      <w:pPr>
        <w:numPr>
          <w:ilvl w:val="0"/>
          <w:numId w:val="2"/>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the alleged abuser has care and support needs and may also be at risk </w:t>
      </w:r>
    </w:p>
    <w:p w:rsidR="00BB1DEB" w:rsidRPr="00BB1DEB" w:rsidRDefault="00BB1DEB" w:rsidP="00BB1DEB">
      <w:pPr>
        <w:numPr>
          <w:ilvl w:val="0"/>
          <w:numId w:val="2"/>
        </w:numPr>
        <w:spacing w:after="0" w:line="240" w:lineRule="auto"/>
        <w:ind w:left="0"/>
        <w:rPr>
          <w:rFonts w:ascii="inherit" w:eastAsia="Times New Roman" w:hAnsi="inherit" w:cs="Times New Roman"/>
          <w:color w:val="303030"/>
          <w:sz w:val="24"/>
          <w:szCs w:val="24"/>
        </w:rPr>
      </w:pPr>
      <w:hyperlink r:id="rId8" w:anchor="police-become-involved" w:history="1">
        <w:r w:rsidRPr="00BB1DEB">
          <w:rPr>
            <w:rFonts w:ascii="inherit" w:eastAsia="Times New Roman" w:hAnsi="inherit" w:cs="Times New Roman"/>
            <w:b/>
            <w:bCs/>
            <w:color w:val="00539F"/>
            <w:sz w:val="24"/>
            <w:szCs w:val="24"/>
            <w:u w:val="single"/>
            <w:bdr w:val="none" w:sz="0" w:space="0" w:color="auto" w:frame="1"/>
          </w:rPr>
          <w:t>a serious crime has been committed</w:t>
        </w:r>
      </w:hyperlink>
    </w:p>
    <w:p w:rsidR="00BB1DEB" w:rsidRPr="00BB1DEB" w:rsidRDefault="00BB1DEB" w:rsidP="00BB1DEB">
      <w:pPr>
        <w:numPr>
          <w:ilvl w:val="0"/>
          <w:numId w:val="2"/>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staff are implicated</w:t>
      </w:r>
    </w:p>
    <w:p w:rsidR="00BB1DEB" w:rsidRPr="00BB1DEB" w:rsidRDefault="00BB1DEB" w:rsidP="00BB1DEB">
      <w:pPr>
        <w:numPr>
          <w:ilvl w:val="0"/>
          <w:numId w:val="2"/>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the person has the mental capacity to make that decision but they may be under duress or being coerced</w:t>
      </w:r>
    </w:p>
    <w:p w:rsidR="00BB1DEB" w:rsidRPr="00BB1DEB" w:rsidRDefault="00BB1DEB" w:rsidP="00BB1DEB">
      <w:pPr>
        <w:numPr>
          <w:ilvl w:val="0"/>
          <w:numId w:val="2"/>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the risk is unreasonably high and meets the criteria for a </w:t>
      </w:r>
      <w:hyperlink r:id="rId9" w:history="1">
        <w:r w:rsidRPr="00BB1DEB">
          <w:rPr>
            <w:rFonts w:ascii="inherit" w:eastAsia="Times New Roman" w:hAnsi="inherit" w:cs="Times New Roman"/>
            <w:b/>
            <w:bCs/>
            <w:color w:val="00539F"/>
            <w:sz w:val="24"/>
            <w:szCs w:val="24"/>
            <w:u w:val="single"/>
            <w:bdr w:val="none" w:sz="0" w:space="0" w:color="auto" w:frame="1"/>
          </w:rPr>
          <w:t>multi-agency risk assessment conference referral</w:t>
        </w:r>
      </w:hyperlink>
    </w:p>
    <w:p w:rsidR="00BB1DEB" w:rsidRPr="00BB1DEB" w:rsidRDefault="00BB1DEB" w:rsidP="00BB1DEB">
      <w:pPr>
        <w:numPr>
          <w:ilvl w:val="0"/>
          <w:numId w:val="2"/>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a court order or other legal authority has requested the information.</w:t>
      </w:r>
    </w:p>
    <w:p w:rsidR="00BB1DEB" w:rsidRPr="00BB1DEB" w:rsidRDefault="00BB1DEB" w:rsidP="00BB1DEB">
      <w:pPr>
        <w:spacing w:after="225" w:line="336" w:lineRule="atLeast"/>
        <w:rPr>
          <w:rFonts w:ascii="Arial" w:eastAsia="Times New Roman" w:hAnsi="Arial" w:cs="Arial"/>
          <w:color w:val="303030"/>
          <w:sz w:val="24"/>
          <w:szCs w:val="24"/>
        </w:rPr>
      </w:pPr>
      <w:r w:rsidRPr="00BB1DEB">
        <w:rPr>
          <w:rFonts w:ascii="Arial" w:eastAsia="Times New Roman" w:hAnsi="Arial" w:cs="Arial"/>
          <w:color w:val="303030"/>
          <w:sz w:val="24"/>
          <w:szCs w:val="24"/>
        </w:rPr>
        <w:t>If none of the above apply and the decision is not to share safeguarding information with other safeguarding partners, or not to intervene to safeguard the person:</w:t>
      </w:r>
    </w:p>
    <w:p w:rsidR="00BB1DEB" w:rsidRPr="00BB1DEB" w:rsidRDefault="00BB1DEB" w:rsidP="00BB1DEB">
      <w:pPr>
        <w:numPr>
          <w:ilvl w:val="0"/>
          <w:numId w:val="3"/>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support the person to weigh up the risks and benefits of different options</w:t>
      </w:r>
    </w:p>
    <w:p w:rsidR="00BB1DEB" w:rsidRPr="00BB1DEB" w:rsidRDefault="00BB1DEB" w:rsidP="00BB1DEB">
      <w:pPr>
        <w:numPr>
          <w:ilvl w:val="0"/>
          <w:numId w:val="3"/>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ensure they are aware of the level of risk and possible outcomes</w:t>
      </w:r>
    </w:p>
    <w:p w:rsidR="00BB1DEB" w:rsidRPr="00BB1DEB" w:rsidRDefault="00BB1DEB" w:rsidP="00BB1DEB">
      <w:pPr>
        <w:numPr>
          <w:ilvl w:val="0"/>
          <w:numId w:val="3"/>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offer to arrange for them to have an advocate or peer supporter</w:t>
      </w:r>
    </w:p>
    <w:p w:rsidR="00BB1DEB" w:rsidRPr="00BB1DEB" w:rsidRDefault="00BB1DEB" w:rsidP="00BB1DEB">
      <w:pPr>
        <w:numPr>
          <w:ilvl w:val="0"/>
          <w:numId w:val="3"/>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offer support for them to build confidence and self-esteem if necessary</w:t>
      </w:r>
    </w:p>
    <w:p w:rsidR="00BB1DEB" w:rsidRPr="00BB1DEB" w:rsidRDefault="00BB1DEB" w:rsidP="00BB1DEB">
      <w:pPr>
        <w:numPr>
          <w:ilvl w:val="0"/>
          <w:numId w:val="3"/>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agree on and record the level of risk the person is taking</w:t>
      </w:r>
    </w:p>
    <w:p w:rsidR="00BB1DEB" w:rsidRPr="00BB1DEB" w:rsidRDefault="00BB1DEB" w:rsidP="00BB1DEB">
      <w:pPr>
        <w:numPr>
          <w:ilvl w:val="0"/>
          <w:numId w:val="3"/>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record the reasons for not intervening or sharing information</w:t>
      </w:r>
    </w:p>
    <w:p w:rsidR="00BB1DEB" w:rsidRPr="00BB1DEB" w:rsidRDefault="00BB1DEB" w:rsidP="00BB1DEB">
      <w:pPr>
        <w:numPr>
          <w:ilvl w:val="0"/>
          <w:numId w:val="3"/>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regularly review the situation</w:t>
      </w:r>
    </w:p>
    <w:p w:rsidR="00BB1DEB" w:rsidRPr="00BB1DEB" w:rsidRDefault="00BB1DEB" w:rsidP="00BB1DEB">
      <w:pPr>
        <w:numPr>
          <w:ilvl w:val="0"/>
          <w:numId w:val="3"/>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try to build trust and use gentle persuasion to enable the person to better protect themselves.</w:t>
      </w:r>
    </w:p>
    <w:p w:rsidR="00BB1DEB" w:rsidRPr="00BB1DEB" w:rsidRDefault="00BB1DEB" w:rsidP="00BB1DEB">
      <w:pPr>
        <w:spacing w:after="225" w:line="336" w:lineRule="atLeast"/>
        <w:rPr>
          <w:rFonts w:ascii="Arial" w:eastAsia="Times New Roman" w:hAnsi="Arial" w:cs="Arial"/>
          <w:color w:val="303030"/>
          <w:sz w:val="24"/>
          <w:szCs w:val="24"/>
        </w:rPr>
      </w:pPr>
      <w:r w:rsidRPr="00BB1DEB">
        <w:rPr>
          <w:rFonts w:ascii="Arial" w:eastAsia="Times New Roman" w:hAnsi="Arial" w:cs="Arial"/>
          <w:color w:val="303030"/>
          <w:sz w:val="24"/>
          <w:szCs w:val="24"/>
        </w:rPr>
        <w:t>If it is necessary to share information outside the organisation:</w:t>
      </w:r>
    </w:p>
    <w:p w:rsidR="00BB1DEB" w:rsidRPr="00BB1DEB" w:rsidRDefault="00BB1DEB" w:rsidP="00BB1DEB">
      <w:pPr>
        <w:numPr>
          <w:ilvl w:val="0"/>
          <w:numId w:val="4"/>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explore the reasons for the person’s objections – what are they worried about?</w:t>
      </w:r>
    </w:p>
    <w:p w:rsidR="00BB1DEB" w:rsidRPr="00BB1DEB" w:rsidRDefault="00BB1DEB" w:rsidP="00BB1DEB">
      <w:pPr>
        <w:numPr>
          <w:ilvl w:val="0"/>
          <w:numId w:val="4"/>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explain the concern and why you think it is important to share the information</w:t>
      </w:r>
    </w:p>
    <w:p w:rsidR="00BB1DEB" w:rsidRPr="00BB1DEB" w:rsidRDefault="00BB1DEB" w:rsidP="00BB1DEB">
      <w:pPr>
        <w:numPr>
          <w:ilvl w:val="0"/>
          <w:numId w:val="4"/>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tell the person who you would like to share the information with and why</w:t>
      </w:r>
    </w:p>
    <w:p w:rsidR="00BB1DEB" w:rsidRPr="00BB1DEB" w:rsidRDefault="00BB1DEB" w:rsidP="00BB1DEB">
      <w:pPr>
        <w:numPr>
          <w:ilvl w:val="0"/>
          <w:numId w:val="4"/>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explain the benefits, to them or others, of sharing information – could they access better help and support?</w:t>
      </w:r>
    </w:p>
    <w:p w:rsidR="00BB1DEB" w:rsidRPr="00BB1DEB" w:rsidRDefault="00BB1DEB" w:rsidP="00BB1DEB">
      <w:pPr>
        <w:numPr>
          <w:ilvl w:val="0"/>
          <w:numId w:val="4"/>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discuss the consequences of not sharing the information – could someone come to harm?</w:t>
      </w:r>
    </w:p>
    <w:p w:rsidR="00BB1DEB" w:rsidRPr="00BB1DEB" w:rsidRDefault="00BB1DEB" w:rsidP="00BB1DEB">
      <w:pPr>
        <w:numPr>
          <w:ilvl w:val="0"/>
          <w:numId w:val="4"/>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reassure them that the information will not be shared with anyone who does not need to know</w:t>
      </w:r>
    </w:p>
    <w:p w:rsidR="00BB1DEB" w:rsidRPr="00BB1DEB" w:rsidRDefault="00BB1DEB" w:rsidP="00BB1DEB">
      <w:pPr>
        <w:numPr>
          <w:ilvl w:val="0"/>
          <w:numId w:val="4"/>
        </w:numPr>
        <w:spacing w:after="0" w:line="240" w:lineRule="auto"/>
        <w:ind w:left="0"/>
        <w:rPr>
          <w:rFonts w:ascii="inherit" w:eastAsia="Times New Roman" w:hAnsi="inherit" w:cs="Times New Roman"/>
          <w:color w:val="303030"/>
          <w:sz w:val="24"/>
          <w:szCs w:val="24"/>
        </w:rPr>
      </w:pPr>
      <w:r w:rsidRPr="00BB1DEB">
        <w:rPr>
          <w:rFonts w:ascii="inherit" w:eastAsia="Times New Roman" w:hAnsi="inherit" w:cs="Times New Roman"/>
          <w:color w:val="303030"/>
          <w:sz w:val="24"/>
          <w:szCs w:val="24"/>
        </w:rPr>
        <w:t>reassure them that they are not alone and that support is available to them.</w:t>
      </w:r>
    </w:p>
    <w:p w:rsidR="00BB1DEB" w:rsidRPr="00BB1DEB" w:rsidRDefault="00BB1DEB" w:rsidP="00BB1DEB">
      <w:pPr>
        <w:spacing w:after="225" w:line="336" w:lineRule="atLeast"/>
        <w:rPr>
          <w:rFonts w:ascii="Arial" w:eastAsia="Times New Roman" w:hAnsi="Arial" w:cs="Arial"/>
          <w:color w:val="303030"/>
          <w:sz w:val="24"/>
          <w:szCs w:val="24"/>
        </w:rPr>
      </w:pPr>
      <w:r w:rsidRPr="00BB1DEB">
        <w:rPr>
          <w:rFonts w:ascii="Arial" w:eastAsia="Times New Roman" w:hAnsi="Arial" w:cs="Arial"/>
          <w:color w:val="303030"/>
          <w:sz w:val="24"/>
          <w:szCs w:val="24"/>
        </w:rPr>
        <w:t>If the person cannot be persuaded to give their consent then, unless it is considered dangerous to do so, it should be explained to them that the information will be shared without consent. The reasons should be given and recorded. The safeguarding principle of proportionality should underpin decisions about sharing information without consent, and decisions should be on a case-by-case basis.</w:t>
      </w:r>
    </w:p>
    <w:p w:rsidR="00BB1DEB" w:rsidRPr="00BB1DEB" w:rsidRDefault="00BB1DEB" w:rsidP="00BB1DEB">
      <w:pPr>
        <w:spacing w:after="225" w:line="336" w:lineRule="atLeast"/>
        <w:rPr>
          <w:rFonts w:ascii="Arial" w:eastAsia="Times New Roman" w:hAnsi="Arial" w:cs="Arial"/>
          <w:color w:val="303030"/>
          <w:sz w:val="24"/>
          <w:szCs w:val="24"/>
        </w:rPr>
      </w:pPr>
      <w:r w:rsidRPr="00BB1DEB">
        <w:rPr>
          <w:rFonts w:ascii="Arial" w:eastAsia="Times New Roman" w:hAnsi="Arial" w:cs="Arial"/>
          <w:color w:val="303030"/>
          <w:sz w:val="24"/>
          <w:szCs w:val="24"/>
        </w:rPr>
        <w:t>If it is not clear that information should be shared outside the organisation, a conversation can be had with safeguarding partners in the police or local authority without disclosing the identity of the person in the first instance. They can then advise on whether full disclosure is necessary without the consent of the person concerned.</w:t>
      </w:r>
    </w:p>
    <w:p w:rsidR="00BB1DEB" w:rsidRPr="00BB1DEB" w:rsidRDefault="00BB1DEB" w:rsidP="00BB1DEB">
      <w:pPr>
        <w:spacing w:after="225" w:line="336" w:lineRule="atLeast"/>
        <w:rPr>
          <w:rFonts w:ascii="Arial" w:eastAsia="Times New Roman" w:hAnsi="Arial" w:cs="Arial"/>
          <w:color w:val="303030"/>
          <w:sz w:val="24"/>
          <w:szCs w:val="24"/>
        </w:rPr>
      </w:pPr>
      <w:r w:rsidRPr="00BB1DEB">
        <w:rPr>
          <w:rFonts w:ascii="Arial" w:eastAsia="Times New Roman" w:hAnsi="Arial" w:cs="Arial"/>
          <w:color w:val="303030"/>
          <w:sz w:val="24"/>
          <w:szCs w:val="24"/>
        </w:rPr>
        <w:t>It is very important that the risk of sharing information is also considered. In some cases, such as domestic violence or hate crime, it is possible that sharing information could increase the risk to the individual. Safeguarding partners need to work jointly to provide advice, support and protection to the individual in order to minimise the possibility of worsening the relationship or triggering retribution from the abuser.</w:t>
      </w:r>
    </w:p>
    <w:p w:rsidR="00BB1DEB" w:rsidRPr="00BB1DEB" w:rsidRDefault="00BB1DEB" w:rsidP="00BB1DEB">
      <w:pPr>
        <w:spacing w:after="0" w:line="336" w:lineRule="atLeast"/>
        <w:rPr>
          <w:rFonts w:ascii="Arial" w:eastAsia="Times New Roman" w:hAnsi="Arial" w:cs="Arial"/>
          <w:color w:val="303030"/>
          <w:sz w:val="24"/>
          <w:szCs w:val="24"/>
        </w:rPr>
      </w:pPr>
      <w:r w:rsidRPr="00BB1DEB">
        <w:rPr>
          <w:rFonts w:ascii="Arial" w:eastAsia="Times New Roman" w:hAnsi="Arial" w:cs="Arial"/>
          <w:color w:val="303030"/>
          <w:sz w:val="24"/>
          <w:szCs w:val="24"/>
        </w:rPr>
        <w:t>Domestic abuse cases should be assessed following the </w:t>
      </w:r>
      <w:hyperlink r:id="rId10" w:tgtFrame="_blank" w:tooltip="Opens in a new window" w:history="1">
        <w:r w:rsidRPr="00BB1DEB">
          <w:rPr>
            <w:rFonts w:ascii="inherit" w:eastAsia="Times New Roman" w:hAnsi="inherit" w:cs="Arial"/>
            <w:b/>
            <w:bCs/>
            <w:color w:val="00539F"/>
            <w:sz w:val="24"/>
            <w:szCs w:val="24"/>
            <w:u w:val="single"/>
            <w:bdr w:val="none" w:sz="0" w:space="0" w:color="auto" w:frame="1"/>
          </w:rPr>
          <w:t>CAADA-DASH risk assessment and referred</w:t>
        </w:r>
      </w:hyperlink>
      <w:r w:rsidRPr="00BB1DEB">
        <w:rPr>
          <w:rFonts w:ascii="Arial" w:eastAsia="Times New Roman" w:hAnsi="Arial" w:cs="Arial"/>
          <w:color w:val="303030"/>
          <w:sz w:val="24"/>
          <w:szCs w:val="24"/>
        </w:rPr>
        <w:t> to a multi-agency risk assessment conference where appropriate. Cases of domestic abuse should also be referred to local specialist domestic abuse services.</w:t>
      </w:r>
    </w:p>
    <w:p w:rsidR="00BB1DEB" w:rsidRPr="00BB1DEB" w:rsidRDefault="00BB1DEB" w:rsidP="00BB1DEB">
      <w:pPr>
        <w:shd w:val="clear" w:color="auto" w:fill="FAFAFA"/>
        <w:spacing w:after="150" w:line="240" w:lineRule="auto"/>
        <w:rPr>
          <w:rFonts w:ascii="inherit" w:eastAsia="Times New Roman" w:hAnsi="inherit" w:cs="Times New Roman"/>
          <w:sz w:val="24"/>
          <w:szCs w:val="24"/>
        </w:rPr>
      </w:pPr>
    </w:p>
    <w:p w:rsidR="00BB1DEB" w:rsidRDefault="00BB1DEB">
      <w:r>
        <w:t>Taken from Social Care Institute for Excellence (SCIE)</w:t>
      </w:r>
    </w:p>
    <w:p w:rsidR="00F32942" w:rsidRDefault="00BB1DEB">
      <w:hyperlink r:id="rId11" w:history="1">
        <w:r w:rsidRPr="00063E26">
          <w:rPr>
            <w:rStyle w:val="Hyperlink"/>
          </w:rPr>
          <w:t>https://www.scie.org.uk/safeguarding/adults/practice/sharing-information</w:t>
        </w:r>
      </w:hyperlink>
      <w:bookmarkStart w:id="0" w:name="_GoBack"/>
      <w:bookmarkEnd w:id="0"/>
    </w:p>
    <w:sectPr w:rsidR="00F32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4A2"/>
    <w:multiLevelType w:val="multilevel"/>
    <w:tmpl w:val="A976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17CAA"/>
    <w:multiLevelType w:val="multilevel"/>
    <w:tmpl w:val="D0DC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FB48B0"/>
    <w:multiLevelType w:val="multilevel"/>
    <w:tmpl w:val="B19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C454C3"/>
    <w:multiLevelType w:val="multilevel"/>
    <w:tmpl w:val="EBB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EB"/>
    <w:rsid w:val="00BB1DEB"/>
    <w:rsid w:val="00F329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130F"/>
  <w15:chartTrackingRefBased/>
  <w15:docId w15:val="{83F65479-85BE-46BC-8851-CBC87937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1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1D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1DEB"/>
    <w:rPr>
      <w:rFonts w:ascii="Times New Roman" w:eastAsia="Times New Roman" w:hAnsi="Times New Roman" w:cs="Times New Roman"/>
      <w:b/>
      <w:bCs/>
      <w:sz w:val="36"/>
      <w:szCs w:val="36"/>
    </w:rPr>
  </w:style>
  <w:style w:type="paragraph" w:customStyle="1" w:styleId="documentinfo">
    <w:name w:val="documentinfo"/>
    <w:basedOn w:val="Normal"/>
    <w:rsid w:val="00BB1D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1D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DEB"/>
    <w:rPr>
      <w:color w:val="0000FF"/>
      <w:u w:val="single"/>
    </w:rPr>
  </w:style>
  <w:style w:type="character" w:styleId="Strong">
    <w:name w:val="Strong"/>
    <w:basedOn w:val="DefaultParagraphFont"/>
    <w:uiPriority w:val="22"/>
    <w:qFormat/>
    <w:rsid w:val="00BB1DEB"/>
    <w:rPr>
      <w:b/>
      <w:bCs/>
    </w:rPr>
  </w:style>
  <w:style w:type="character" w:styleId="UnresolvedMention">
    <w:name w:val="Unresolved Mention"/>
    <w:basedOn w:val="DefaultParagraphFont"/>
    <w:uiPriority w:val="99"/>
    <w:semiHidden/>
    <w:unhideWhenUsed/>
    <w:rsid w:val="00BB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849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77">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 w:id="5007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org.uk/safeguarding/adults/practice/ques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org.uk/safeguarding/adults/practice/sharing-information?gclid=Cj0KCQiAjfvwBRCkARIsAIqSWlOv-dPzJu885AH6ONxA7IFXHnQIXfAegM4jhDdecj-gYj9dmsd5z1IaAk1_EALw_wc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org.uk/publications/guides/guide15/whistleblowing/" TargetMode="External"/><Relationship Id="rId11" Type="http://schemas.openxmlformats.org/officeDocument/2006/relationships/hyperlink" Target="https://www.scie.org.uk/safeguarding/adults/practice/sharing-information" TargetMode="External"/><Relationship Id="rId5" Type="http://schemas.openxmlformats.org/officeDocument/2006/relationships/hyperlink" Target="https://www.scie.org.uk/safeguarding/adults/practice/sharing-information?gclid=Cj0KCQiAjfvwBRCkARIsAIqSWlOv-dPzJu885AH6ONxA7IFXHnQIXfAegM4jhDdecj-gYj9dmsd5z1IaAk1_EALw_wcB" TargetMode="External"/><Relationship Id="rId10" Type="http://schemas.openxmlformats.org/officeDocument/2006/relationships/hyperlink" Target="https://www.cscb-new.co.uk/wp-content/uploads/2015/11/CAADA-DASH-risk-assessment-for-MARAC-agencies.pdf" TargetMode="External"/><Relationship Id="rId4" Type="http://schemas.openxmlformats.org/officeDocument/2006/relationships/webSettings" Target="webSettings.xml"/><Relationship Id="rId9" Type="http://schemas.openxmlformats.org/officeDocument/2006/relationships/hyperlink" Target="https://www.scie.org.uk/files/safeguarding/adults/practice/sharing-information/MARAC-referral-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Gay</dc:creator>
  <cp:keywords/>
  <dc:description/>
  <cp:lastModifiedBy>Jane Gay</cp:lastModifiedBy>
  <cp:revision>1</cp:revision>
  <cp:lastPrinted>2020-01-15T14:42:00Z</cp:lastPrinted>
  <dcterms:created xsi:type="dcterms:W3CDTF">2020-01-15T14:36:00Z</dcterms:created>
  <dcterms:modified xsi:type="dcterms:W3CDTF">2020-01-15T14:42:00Z</dcterms:modified>
</cp:coreProperties>
</file>